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Разъясняет помощник прокурора Гагаринского административного района г. Саратова Александрова Самира Рамизовна</w:t>
      </w:r>
    </w:p>
    <w:p w14:paraId="0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1.Какая ответственность  за утерю паспорта?</w:t>
      </w:r>
    </w:p>
    <w:p w14:paraId="0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5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Ответ: Небрежное хранение паспорта, повлекшее его утрату, является административным правонарушением. Согласно статье 19.16 </w:t>
      </w:r>
      <w:r>
        <w:rPr>
          <w:rFonts w:ascii="Times New Roman" w:hAnsi="Times New Roman"/>
          <w:color w:val="000000"/>
          <w:sz w:val="28"/>
        </w:rPr>
        <w:t>КоАП</w:t>
      </w:r>
      <w:r>
        <w:rPr>
          <w:rFonts w:ascii="Times New Roman" w:hAnsi="Times New Roman"/>
          <w:color w:val="000000"/>
          <w:sz w:val="28"/>
        </w:rPr>
        <w:t xml:space="preserve"> РФ, за это предусмотрено предупреждение или штраф в размере от 100 до 300 рублей. При утере документа следует незамедлительно обратиться в территориальный орган МВД.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Обязан ли поставщик газа уведомлять абонента о проверке газового оборудования?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Ответ: Поставщик газа обязан предварительно уведомить абонента о дате и времени проверки газового оборудования. Уведомление должно быть направлено не </w:t>
      </w:r>
      <w:r>
        <w:rPr>
          <w:rFonts w:ascii="Times New Roman" w:hAnsi="Times New Roman"/>
          <w:color w:val="000000"/>
          <w:sz w:val="28"/>
        </w:rPr>
        <w:t>позднее</w:t>
      </w:r>
      <w:r>
        <w:rPr>
          <w:rFonts w:ascii="Times New Roman" w:hAnsi="Times New Roman"/>
          <w:color w:val="000000"/>
          <w:sz w:val="28"/>
        </w:rPr>
        <w:t xml:space="preserve"> чем за 7 дней до дня проверки способом, позволяющим подтвердить его получение (например, заказным письмом, вручением под роспись).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Можно ли сохранить пособие по уходу за ребенком до полутора лет при досрочном выходе на работу?</w:t>
      </w:r>
    </w:p>
    <w:p w14:paraId="0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Ответ: Право на ежемесячное пособие по уходу за ребенком до полутора лет сохраняется в полном объеме, если родитель досрочно выходит на работу. Это правило действует независимо от формы занятости: полный рабочий день, неполное время, работа на дому или у другого работодателя.</w:t>
      </w:r>
    </w:p>
    <w:p w14:paraId="0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Какой размер алиментов, взыскиваемых на несовершеннолетних детей в судебном порядке?</w:t>
      </w:r>
    </w:p>
    <w:p w14:paraId="1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Ответ: Если между родителями нет нотариального соглашения, размер алиментов определяется судом. Согласно статье 81 Семейного кодекса РФ, ежемесячно на </w:t>
      </w:r>
      <w:r>
        <w:rPr>
          <w:rFonts w:ascii="Times New Roman" w:hAnsi="Times New Roman"/>
          <w:color w:val="000000"/>
          <w:sz w:val="28"/>
        </w:rPr>
        <w:t>одного ребенка взыскивается</w:t>
      </w:r>
      <w:r>
        <w:rPr>
          <w:rFonts w:ascii="Times New Roman" w:hAnsi="Times New Roman"/>
          <w:color w:val="000000"/>
          <w:sz w:val="28"/>
        </w:rPr>
        <w:t xml:space="preserve"> одна четверть дохода родителя, на двух - одна треть, на трех и более - половина. Суд вправе изменить размер этих долей с учетом материального и семейного положения сторон.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2025-12-03T13:08:34Z</dcterms:modified>
</cp:coreProperties>
</file>